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State the functions of the following components of the blood:</w:t>
      </w:r>
    </w:p>
    <w:tbl>
      <w:tblPr>
        <w:tblStyle w:val="TableGrid1"/>
        <w:tblW w:w="0" w:type="auto"/>
        <w:tblInd w:w="468" w:type="dxa"/>
        <w:tblLook w:val="04A0" w:firstRow="1" w:lastRow="0" w:firstColumn="1" w:lastColumn="0" w:noHBand="0" w:noVBand="1"/>
      </w:tblPr>
      <w:tblGrid>
        <w:gridCol w:w="2250"/>
        <w:gridCol w:w="6858"/>
      </w:tblGrid>
      <w:tr w:rsidR="008357C5" w:rsidRPr="008357C5" w:rsidTr="00440D03">
        <w:tc>
          <w:tcPr>
            <w:tcW w:w="2250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Lymphocytes</w:t>
            </w:r>
          </w:p>
        </w:tc>
        <w:tc>
          <w:tcPr>
            <w:tcW w:w="685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c>
          <w:tcPr>
            <w:tcW w:w="2250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Phagocytic leukocytes (macrophages)</w:t>
            </w:r>
          </w:p>
        </w:tc>
        <w:tc>
          <w:tcPr>
            <w:tcW w:w="685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c>
          <w:tcPr>
            <w:tcW w:w="2250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Erythrocytes</w:t>
            </w:r>
          </w:p>
        </w:tc>
        <w:tc>
          <w:tcPr>
            <w:tcW w:w="685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c>
          <w:tcPr>
            <w:tcW w:w="2250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Platelets</w:t>
            </w:r>
          </w:p>
        </w:tc>
        <w:tc>
          <w:tcPr>
            <w:tcW w:w="685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c>
          <w:tcPr>
            <w:tcW w:w="2250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Plasma</w:t>
            </w:r>
          </w:p>
        </w:tc>
        <w:tc>
          <w:tcPr>
            <w:tcW w:w="685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</w:tbl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Use the animation and card sort game before you outline the processes:</w:t>
      </w: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Outline how phagocytic leukocytes ingest pathogens in the blood and body tissues.</w:t>
      </w: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360"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br w:type="page"/>
      </w: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lastRenderedPageBreak/>
        <w:t xml:space="preserve">Distinguish between antibodies and antigens. 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tbl>
      <w:tblPr>
        <w:tblStyle w:val="TableGrid1"/>
        <w:tblpPr w:leftFromText="180" w:rightFromText="180" w:vertAnchor="text" w:tblpX="1965" w:tblpY="1"/>
        <w:tblOverlap w:val="never"/>
        <w:tblW w:w="8011" w:type="dxa"/>
        <w:tblLook w:val="04A0" w:firstRow="1" w:lastRow="0" w:firstColumn="1" w:lastColumn="0" w:noHBand="0" w:noVBand="1"/>
      </w:tblPr>
      <w:tblGrid>
        <w:gridCol w:w="2193"/>
        <w:gridCol w:w="5818"/>
      </w:tblGrid>
      <w:tr w:rsidR="008357C5" w:rsidRPr="008357C5" w:rsidTr="00440D03">
        <w:trPr>
          <w:trHeight w:val="1223"/>
        </w:trPr>
        <w:tc>
          <w:tcPr>
            <w:tcW w:w="2193" w:type="dxa"/>
            <w:vAlign w:val="center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Antibody</w:t>
            </w: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818" w:type="dxa"/>
            <w:vAlign w:val="center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i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 xml:space="preserve">A globular protein. </w:t>
            </w:r>
            <w:r w:rsidRPr="008357C5">
              <w:rPr>
                <w:rFonts w:ascii="Calibri" w:hAnsi="Calibri" w:cs="Cordia New"/>
                <w:i/>
                <w:lang w:val="en-US"/>
              </w:rPr>
              <w:t>(revise levels of protein structure)</w:t>
            </w: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 xml:space="preserve">Produced as part of the immune response. </w:t>
            </w: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 xml:space="preserve">Specific to the antigen on the pathogen – the antigen binding site is analogous to the active site of an enzyme. </w:t>
            </w:r>
          </w:p>
        </w:tc>
      </w:tr>
      <w:tr w:rsidR="008357C5" w:rsidRPr="008357C5" w:rsidTr="00440D03">
        <w:trPr>
          <w:trHeight w:val="1250"/>
        </w:trPr>
        <w:tc>
          <w:tcPr>
            <w:tcW w:w="2193" w:type="dxa"/>
            <w:vAlign w:val="center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818" w:type="dxa"/>
            <w:vAlign w:val="center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</w:tbl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noProof/>
          <w:szCs w:val="22"/>
          <w:lang w:val="en-US"/>
        </w:rPr>
        <w:drawing>
          <wp:anchor distT="0" distB="0" distL="114300" distR="114300" simplePos="0" relativeHeight="251656704" behindDoc="1" locked="0" layoutInCell="1" allowOverlap="1" wp14:anchorId="29DB0B8F" wp14:editId="535728E4">
            <wp:simplePos x="0" y="0"/>
            <wp:positionH relativeFrom="column">
              <wp:posOffset>-219710</wp:posOffset>
            </wp:positionH>
            <wp:positionV relativeFrom="paragraph">
              <wp:posOffset>214630</wp:posOffset>
            </wp:positionV>
            <wp:extent cx="1711960" cy="1045845"/>
            <wp:effectExtent l="920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11960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7C5">
        <w:rPr>
          <w:rFonts w:ascii="Calibri" w:eastAsia="Times New Roman" w:hAnsi="Calibri" w:cs="Cordia New"/>
          <w:szCs w:val="22"/>
          <w:lang w:val="en-US" w:bidi="ar-SA"/>
        </w:rPr>
        <w:br w:type="textWrapping" w:clear="all"/>
      </w:r>
    </w:p>
    <w:p w:rsidR="008357C5" w:rsidRPr="008357C5" w:rsidRDefault="008357C5" w:rsidP="008357C5">
      <w:pPr>
        <w:rPr>
          <w:rFonts w:ascii="Calibri" w:eastAsia="Times New Roman" w:hAnsi="Calibri" w:cs="Cordia New"/>
          <w:i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i/>
          <w:szCs w:val="22"/>
          <w:lang w:val="en-US" w:bidi="ar-SA"/>
        </w:rPr>
        <w:t>Link thought:  how is this important in ABO blood typing and how is that an example of codominance?</w:t>
      </w: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 xml:space="preserve">Explain how antibodies are produced.  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5050"/>
      </w:tblGrid>
      <w:tr w:rsidR="008357C5" w:rsidRPr="008357C5" w:rsidTr="00440D03">
        <w:trPr>
          <w:trHeight w:val="646"/>
        </w:trPr>
        <w:tc>
          <w:tcPr>
            <w:tcW w:w="4418" w:type="dxa"/>
            <w:vMerge w:val="restart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noProof/>
                <w:lang w:val="en-US"/>
              </w:rPr>
              <w:drawing>
                <wp:inline distT="0" distB="0" distL="0" distR="0" wp14:anchorId="51C898A8" wp14:editId="1795391B">
                  <wp:extent cx="2668402" cy="2495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751" cy="2495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 xml:space="preserve">There are many different types of lymphocytes in the immune system. </w:t>
            </w:r>
          </w:p>
        </w:tc>
      </w:tr>
      <w:tr w:rsidR="008357C5" w:rsidRPr="008357C5" w:rsidTr="00440D03">
        <w:trPr>
          <w:trHeight w:val="647"/>
        </w:trPr>
        <w:tc>
          <w:tcPr>
            <w:tcW w:w="4418" w:type="dxa"/>
            <w:vMerge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647"/>
        </w:trPr>
        <w:tc>
          <w:tcPr>
            <w:tcW w:w="4418" w:type="dxa"/>
            <w:vMerge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646"/>
        </w:trPr>
        <w:tc>
          <w:tcPr>
            <w:tcW w:w="4418" w:type="dxa"/>
            <w:vMerge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647"/>
        </w:trPr>
        <w:tc>
          <w:tcPr>
            <w:tcW w:w="4418" w:type="dxa"/>
            <w:vMerge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647"/>
        </w:trPr>
        <w:tc>
          <w:tcPr>
            <w:tcW w:w="4418" w:type="dxa"/>
            <w:vMerge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  <w:tc>
          <w:tcPr>
            <w:tcW w:w="5050" w:type="dxa"/>
          </w:tcPr>
          <w:p w:rsidR="008357C5" w:rsidRPr="008357C5" w:rsidRDefault="008357C5" w:rsidP="008357C5">
            <w:pPr>
              <w:rPr>
                <w:rFonts w:ascii="Calibri" w:hAnsi="Calibri" w:cs="Cordia New"/>
                <w:lang w:val="en-US"/>
              </w:rPr>
            </w:pPr>
          </w:p>
        </w:tc>
      </w:tr>
    </w:tbl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 xml:space="preserve">State the role of memory cells following an infection. </w:t>
      </w: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Explain why antibiotics can be used to treat bacterial infections but not viral infections.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Outline how overuse of antibiotics is leading to antibiotic resistant strains of bacteria?</w:t>
      </w: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Analyse the graph over time, outline what has happened to:</w:t>
      </w:r>
    </w:p>
    <w:p w:rsidR="008357C5" w:rsidRPr="008357C5" w:rsidRDefault="008357C5" w:rsidP="008357C5">
      <w:pPr>
        <w:numPr>
          <w:ilvl w:val="0"/>
          <w:numId w:val="3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The number of new approved antibiotics</w:t>
      </w:r>
    </w:p>
    <w:p w:rsidR="008357C5" w:rsidRPr="008357C5" w:rsidRDefault="008357C5" w:rsidP="008357C5">
      <w:pPr>
        <w:numPr>
          <w:ilvl w:val="0"/>
          <w:numId w:val="3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The diversity of new approved antibiotics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Suggest reasons for your answers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noProof/>
          <w:szCs w:val="22"/>
          <w:lang w:val="en-US"/>
        </w:rPr>
        <w:drawing>
          <wp:inline distT="0" distB="0" distL="0" distR="0" wp14:anchorId="52BC6CA4" wp14:editId="21A0B363">
            <wp:extent cx="5943600" cy="2956560"/>
            <wp:effectExtent l="0" t="0" r="0" b="0"/>
            <wp:docPr id="9" name="Picture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hlinkClick r:id="rId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94360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7C5">
        <w:rPr>
          <w:rFonts w:ascii="Calibri" w:eastAsia="Times New Roman" w:hAnsi="Calibri" w:cs="Cordia New"/>
          <w:szCs w:val="22"/>
          <w:lang w:val="en-US" w:bidi="ar-SA"/>
        </w:rPr>
        <w:br w:type="page"/>
      </w: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lastRenderedPageBreak/>
        <w:t>Discuss the ways in which Florey and Chain’s work is in accord with and breaches the modern practices of drug testing.</w:t>
      </w: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Pr="008357C5" w:rsidRDefault="004D6CEB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>Define the terms HIV and AIDS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 xml:space="preserve">HIV = 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 xml:space="preserve">AIDS = </w:t>
      </w: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Pr="008357C5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8357C5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szCs w:val="22"/>
          <w:lang w:val="en-US" w:bidi="ar-SA"/>
        </w:rPr>
        <w:t xml:space="preserve">Outline the effects of HIV on the immune system. </w:t>
      </w: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5868"/>
      </w:tblGrid>
      <w:tr w:rsidR="008357C5" w:rsidRPr="008357C5" w:rsidTr="00440D03">
        <w:trPr>
          <w:trHeight w:val="827"/>
        </w:trPr>
        <w:tc>
          <w:tcPr>
            <w:tcW w:w="298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Effect on lymphocytes</w:t>
            </w:r>
          </w:p>
        </w:tc>
        <w:tc>
          <w:tcPr>
            <w:tcW w:w="586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4D6CEB" w:rsidRPr="008357C5" w:rsidRDefault="004D6CEB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800"/>
        </w:trPr>
        <w:tc>
          <w:tcPr>
            <w:tcW w:w="298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Effect on antibody production</w:t>
            </w:r>
          </w:p>
        </w:tc>
        <w:tc>
          <w:tcPr>
            <w:tcW w:w="586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4D6CEB" w:rsidRPr="008357C5" w:rsidRDefault="004D6CEB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  <w:tr w:rsidR="008357C5" w:rsidRPr="008357C5" w:rsidTr="00440D03">
        <w:trPr>
          <w:trHeight w:val="710"/>
        </w:trPr>
        <w:tc>
          <w:tcPr>
            <w:tcW w:w="298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Effect on health</w:t>
            </w:r>
          </w:p>
        </w:tc>
        <w:tc>
          <w:tcPr>
            <w:tcW w:w="5868" w:type="dxa"/>
          </w:tcPr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P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8357C5" w:rsidRDefault="008357C5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  <w:p w:rsidR="004D6CEB" w:rsidRPr="008357C5" w:rsidRDefault="004D6CEB" w:rsidP="008357C5">
            <w:pPr>
              <w:contextualSpacing/>
              <w:rPr>
                <w:rFonts w:ascii="Calibri" w:hAnsi="Calibri" w:cs="Cordia New"/>
                <w:lang w:val="en-US"/>
              </w:rPr>
            </w:pPr>
          </w:p>
        </w:tc>
      </w:tr>
    </w:tbl>
    <w:p w:rsidR="008357C5" w:rsidRDefault="008357C5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Pr="008357C5" w:rsidRDefault="004D6CEB" w:rsidP="008357C5">
      <w:pPr>
        <w:ind w:left="720"/>
        <w:contextualSpacing/>
        <w:rPr>
          <w:rFonts w:ascii="Calibri" w:eastAsia="Times New Roman" w:hAnsi="Calibri" w:cs="Cordia New"/>
          <w:szCs w:val="22"/>
          <w:lang w:val="en-US" w:bidi="ar-SA"/>
        </w:rPr>
      </w:pPr>
    </w:p>
    <w:p w:rsidR="008357C5" w:rsidRPr="008357C5" w:rsidRDefault="004D6CEB" w:rsidP="008357C5">
      <w:pPr>
        <w:numPr>
          <w:ilvl w:val="0"/>
          <w:numId w:val="1"/>
        </w:numPr>
        <w:contextualSpacing/>
        <w:rPr>
          <w:rFonts w:ascii="Calibri" w:eastAsia="Times New Roman" w:hAnsi="Calibri" w:cs="Cordia New"/>
          <w:szCs w:val="22"/>
          <w:lang w:val="en-US" w:bidi="ar-SA"/>
        </w:rPr>
      </w:pPr>
      <w:r>
        <w:rPr>
          <w:rFonts w:ascii="Calibri" w:eastAsia="Times New Roman" w:hAnsi="Calibri" w:cs="Cordia New"/>
          <w:szCs w:val="22"/>
          <w:lang w:val="en-US" w:bidi="ar-SA"/>
        </w:rPr>
        <w:lastRenderedPageBreak/>
        <w:t>What are the risk factors in HIV transmission?</w:t>
      </w:r>
    </w:p>
    <w:p w:rsid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4D6CEB" w:rsidRDefault="004D6CEB" w:rsidP="008357C5">
      <w:pPr>
        <w:rPr>
          <w:rFonts w:ascii="Calibri" w:eastAsia="Times New Roman" w:hAnsi="Calibri" w:cs="Cordia New"/>
          <w:szCs w:val="22"/>
          <w:lang w:val="en-US" w:bidi="ar-SA"/>
        </w:rPr>
      </w:pPr>
      <w:r>
        <w:rPr>
          <w:rFonts w:ascii="Calibri" w:eastAsia="Times New Roman" w:hAnsi="Calibri" w:cs="Cordia New"/>
          <w:szCs w:val="22"/>
          <w:lang w:val="en-US" w:bidi="ar-SA"/>
        </w:rPr>
        <w:t xml:space="preserve">NO RISK  </w:t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  <w:t>LOWEST RISK</w:t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</w:r>
      <w:r>
        <w:rPr>
          <w:rFonts w:ascii="Calibri" w:eastAsia="Times New Roman" w:hAnsi="Calibri" w:cs="Cordia New"/>
          <w:szCs w:val="22"/>
          <w:lang w:val="en-US" w:bidi="ar-SA"/>
        </w:rPr>
        <w:tab/>
        <w:t>HIGHEST RISK</w:t>
      </w:r>
    </w:p>
    <w:p w:rsidR="008357C5" w:rsidRPr="008357C5" w:rsidRDefault="008357C5" w:rsidP="00EB00AA">
      <w:pPr>
        <w:contextualSpacing/>
        <w:rPr>
          <w:rFonts w:ascii="Calibri" w:eastAsia="Times New Roman" w:hAnsi="Calibri" w:cs="Cordia New"/>
          <w:szCs w:val="22"/>
          <w:lang w:val="en-US" w:bidi="ar-SA"/>
        </w:rPr>
      </w:pPr>
      <w:bookmarkStart w:id="0" w:name="_GoBack"/>
      <w:bookmarkEnd w:id="0"/>
      <w:r w:rsidRPr="008357C5">
        <w:rPr>
          <w:rFonts w:ascii="Calibri" w:eastAsia="Times New Roman" w:hAnsi="Calibri" w:cs="Cordia New"/>
          <w:szCs w:val="22"/>
          <w:lang w:val="en-US" w:bidi="ar-SA"/>
        </w:rPr>
        <w:br w:type="page"/>
      </w:r>
    </w:p>
    <w:sdt>
      <w:sdtPr>
        <w:rPr>
          <w:rFonts w:ascii="Calibri" w:eastAsia="Calibri" w:hAnsi="Calibri" w:cs="Cordia New"/>
          <w:szCs w:val="22"/>
          <w:lang w:val="en-US" w:bidi="ar-SA"/>
        </w:rPr>
        <w:id w:val="19112884"/>
        <w:docPartObj>
          <w:docPartGallery w:val="Bibliographies"/>
          <w:docPartUnique/>
        </w:docPartObj>
      </w:sdtPr>
      <w:sdtEndPr>
        <w:rPr>
          <w:rFonts w:eastAsia="Times New Roman"/>
        </w:rPr>
      </w:sdtEndPr>
      <w:sdtContent>
        <w:p w:rsidR="008357C5" w:rsidRPr="008357C5" w:rsidRDefault="008357C5" w:rsidP="008357C5">
          <w:pPr>
            <w:keepNext/>
            <w:keepLines/>
            <w:spacing w:before="480" w:after="0"/>
            <w:outlineLvl w:val="0"/>
            <w:rPr>
              <w:rFonts w:ascii="Cambria" w:eastAsia="Times New Roman" w:hAnsi="Cambria" w:cs="Angsana New"/>
              <w:b/>
              <w:bCs/>
              <w:color w:val="365F91"/>
              <w:sz w:val="28"/>
              <w:lang w:val="en-US" w:bidi="en-US"/>
            </w:rPr>
          </w:pPr>
          <w:r w:rsidRPr="008357C5">
            <w:rPr>
              <w:rFonts w:ascii="Cambria" w:eastAsia="Times New Roman" w:hAnsi="Cambria" w:cs="Angsana New"/>
              <w:b/>
              <w:bCs/>
              <w:color w:val="365F91"/>
              <w:sz w:val="28"/>
              <w:lang w:val="en-US" w:bidi="en-US"/>
            </w:rPr>
            <w:t>Works Cited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szCs w:val="22"/>
              <w:lang w:val="en-US" w:bidi="ar-SA"/>
            </w:rPr>
            <w:fldChar w:fldCharType="begin"/>
          </w:r>
          <w:r w:rsidRPr="008357C5">
            <w:rPr>
              <w:rFonts w:ascii="Calibri" w:eastAsia="Times New Roman" w:hAnsi="Calibri" w:cs="Cordia New"/>
              <w:szCs w:val="22"/>
              <w:lang w:val="en-US" w:bidi="ar-SA"/>
            </w:rPr>
            <w:instrText xml:space="preserve"> BIBLIOGRAPHY </w:instrText>
          </w:r>
          <w:r w:rsidRPr="008357C5">
            <w:rPr>
              <w:rFonts w:ascii="Calibri" w:eastAsia="Times New Roman" w:hAnsi="Calibri" w:cs="Cordia New"/>
              <w:szCs w:val="22"/>
              <w:lang w:val="en-US" w:bidi="ar-SA"/>
            </w:rPr>
            <w:fldChar w:fldCharType="separate"/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1.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Allott, Andrew.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IB Study Guide: Biology for the IB Diploma.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s.l. : Oxford University Press, 2007. 978-0-19-915143-1.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2.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Mindorff, D and Allott, A.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Biology Course Companion.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Oxford : Oxford University Press, 2007. 978-099151240.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3.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Clegg, CJ.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Biology for the IB Diploma.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London : Hodder Murray, 2007. 978-0340926529.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4.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Campbell N., Reece J., Taylor M., Simon. E.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Biology Concepts and Connections.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San Fransisco : Pearson Benjamin Cummings, 2006. 0-8053-7160-5.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5.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Taylor, Stephen.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Science Video Resources.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[Online] Wordpress, 2010. http://sciencevideos.wordpress.com.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6.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Burrell, John.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Click4Biology.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[Online] 2010. http://click4biology.info/.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noProof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7. </w:t>
          </w:r>
          <w:r w:rsidRPr="008357C5">
            <w:rPr>
              <w:rFonts w:ascii="Calibri" w:eastAsia="Times New Roman" w:hAnsi="Calibri" w:cs="Cordia New"/>
              <w:b/>
              <w:bCs/>
              <w:noProof/>
              <w:szCs w:val="22"/>
              <w:lang w:val="en-US" w:bidi="ar-SA"/>
            </w:rPr>
            <w:t>IBO.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 xml:space="preserve"> </w:t>
          </w:r>
          <w:r w:rsidRPr="008357C5">
            <w:rPr>
              <w:rFonts w:ascii="Calibri" w:eastAsia="Times New Roman" w:hAnsi="Calibri" w:cs="Cordia New"/>
              <w:i/>
              <w:iCs/>
              <w:noProof/>
              <w:szCs w:val="22"/>
              <w:lang w:val="en-US" w:bidi="ar-SA"/>
            </w:rPr>
            <w:t xml:space="preserve">Biology Subject Guide. </w:t>
          </w:r>
          <w:r w:rsidRPr="008357C5">
            <w:rPr>
              <w:rFonts w:ascii="Calibri" w:eastAsia="Times New Roman" w:hAnsi="Calibri" w:cs="Cordia New"/>
              <w:noProof/>
              <w:szCs w:val="22"/>
              <w:lang w:val="en-US" w:bidi="ar-SA"/>
            </w:rPr>
            <w:t>[Online] 2007. http://xmltwo.ibo.org/publications/migrated/production-app2.ibo.org/publication/7/part/2/chapter/1.html.</w:t>
          </w:r>
        </w:p>
        <w:p w:rsidR="008357C5" w:rsidRPr="008357C5" w:rsidRDefault="008357C5" w:rsidP="008357C5">
          <w:pPr>
            <w:rPr>
              <w:rFonts w:ascii="Calibri" w:eastAsia="Times New Roman" w:hAnsi="Calibri" w:cs="Cordia New"/>
              <w:szCs w:val="22"/>
              <w:lang w:val="en-US" w:bidi="ar-SA"/>
            </w:rPr>
          </w:pPr>
          <w:r w:rsidRPr="008357C5">
            <w:rPr>
              <w:rFonts w:ascii="Calibri" w:eastAsia="Times New Roman" w:hAnsi="Calibri" w:cs="Cordia New"/>
              <w:szCs w:val="22"/>
              <w:lang w:val="en-US" w:bidi="ar-SA"/>
            </w:rPr>
            <w:fldChar w:fldCharType="end"/>
          </w:r>
        </w:p>
      </w:sdtContent>
    </w:sdt>
    <w:p w:rsidR="008357C5" w:rsidRPr="008357C5" w:rsidRDefault="008357C5" w:rsidP="008357C5">
      <w:pPr>
        <w:rPr>
          <w:rFonts w:ascii="Calibri" w:eastAsia="Times New Roman" w:hAnsi="Calibri" w:cs="Cordia New"/>
          <w:b/>
          <w:szCs w:val="22"/>
          <w:lang w:val="en-US" w:bidi="ar-SA"/>
        </w:rPr>
      </w:pPr>
      <w:r w:rsidRPr="008357C5">
        <w:rPr>
          <w:rFonts w:ascii="Calibri" w:eastAsia="Times New Roman" w:hAnsi="Calibri" w:cs="Cordia New"/>
          <w:b/>
          <w:szCs w:val="22"/>
          <w:lang w:val="en-US" w:bidi="ar-SA"/>
        </w:rPr>
        <w:t>Self Assessment:</w:t>
      </w:r>
    </w:p>
    <w:tbl>
      <w:tblPr>
        <w:tblStyle w:val="TableGrid1"/>
        <w:tblW w:w="1021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630"/>
        <w:gridCol w:w="3621"/>
        <w:gridCol w:w="171"/>
        <w:gridCol w:w="3360"/>
        <w:gridCol w:w="724"/>
        <w:gridCol w:w="705"/>
      </w:tblGrid>
      <w:tr w:rsidR="008357C5" w:rsidRPr="008357C5" w:rsidTr="008357C5">
        <w:trPr>
          <w:trHeight w:val="153"/>
        </w:trPr>
        <w:tc>
          <w:tcPr>
            <w:tcW w:w="1630" w:type="dxa"/>
            <w:tcBorders>
              <w:top w:val="nil"/>
              <w:left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4"/>
                <w:lang w:val="en-US"/>
              </w:rPr>
            </w:pPr>
          </w:p>
        </w:tc>
        <w:tc>
          <w:tcPr>
            <w:tcW w:w="7152" w:type="dxa"/>
            <w:gridSpan w:val="3"/>
            <w:shd w:val="clear" w:color="auto" w:fill="DBE5F1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color w:val="1F497D"/>
                <w:sz w:val="28"/>
                <w:lang w:val="en-US"/>
              </w:rPr>
            </w:pPr>
            <w:r w:rsidRPr="008357C5">
              <w:rPr>
                <w:rFonts w:ascii="Calibri" w:hAnsi="Calibri" w:cs="Cordia New"/>
                <w:b/>
                <w:color w:val="1F497D"/>
                <w:sz w:val="28"/>
                <w:lang w:val="en-US"/>
              </w:rPr>
              <w:t>Essential Biology</w:t>
            </w:r>
          </w:p>
        </w:tc>
        <w:tc>
          <w:tcPr>
            <w:tcW w:w="1429" w:type="dxa"/>
            <w:gridSpan w:val="2"/>
            <w:shd w:val="clear" w:color="auto" w:fill="E5B8B7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Assessment</w:t>
            </w:r>
          </w:p>
        </w:tc>
      </w:tr>
      <w:tr w:rsidR="008357C5" w:rsidRPr="008357C5" w:rsidTr="008357C5">
        <w:trPr>
          <w:trHeight w:val="65"/>
        </w:trPr>
        <w:tc>
          <w:tcPr>
            <w:tcW w:w="1630" w:type="dxa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Criterion</w:t>
            </w:r>
          </w:p>
        </w:tc>
        <w:tc>
          <w:tcPr>
            <w:tcW w:w="3621" w:type="dxa"/>
            <w:shd w:val="clear" w:color="auto" w:fill="EAF1DD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Complete (2)</w:t>
            </w:r>
          </w:p>
        </w:tc>
        <w:tc>
          <w:tcPr>
            <w:tcW w:w="3531" w:type="dxa"/>
            <w:gridSpan w:val="2"/>
            <w:shd w:val="clear" w:color="auto" w:fill="FDE9D9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Partially complete (1)</w:t>
            </w:r>
          </w:p>
        </w:tc>
        <w:tc>
          <w:tcPr>
            <w:tcW w:w="724" w:type="dxa"/>
            <w:shd w:val="clear" w:color="auto" w:fill="F2DBDB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Self</w:t>
            </w:r>
          </w:p>
        </w:tc>
        <w:tc>
          <w:tcPr>
            <w:tcW w:w="705" w:type="dxa"/>
            <w:shd w:val="clear" w:color="auto" w:fill="F2DBDB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8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8"/>
                <w:lang w:val="en-US"/>
              </w:rPr>
              <w:t>MrT</w:t>
            </w:r>
          </w:p>
        </w:tc>
      </w:tr>
      <w:tr w:rsidR="008357C5" w:rsidRPr="008357C5" w:rsidTr="008357C5">
        <w:trPr>
          <w:trHeight w:val="160"/>
        </w:trPr>
        <w:tc>
          <w:tcPr>
            <w:tcW w:w="1630" w:type="dxa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sz w:val="20"/>
                <w:lang w:val="en-US"/>
              </w:rPr>
              <w:t>Presentation &amp; Organisation</w:t>
            </w:r>
          </w:p>
        </w:tc>
        <w:tc>
          <w:tcPr>
            <w:tcW w:w="3621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Complete and neat. All command terms highlighted, tables and diagrams well presented. </w:t>
            </w:r>
          </w:p>
        </w:tc>
        <w:tc>
          <w:tcPr>
            <w:tcW w:w="724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142"/>
        </w:trPr>
        <w:tc>
          <w:tcPr>
            <w:tcW w:w="1630" w:type="dxa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sz w:val="20"/>
                <w:lang w:val="en-US"/>
              </w:rPr>
              <w:t>Academic Honesty</w:t>
            </w:r>
          </w:p>
        </w:tc>
        <w:tc>
          <w:tcPr>
            <w:tcW w:w="3621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8357C5" w:rsidRPr="008357C5" w:rsidRDefault="008357C5" w:rsidP="008357C5">
            <w:pPr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Sources cited using the CSE (ISO 690 numerical) method, with Works Cited section complete and correct. </w:t>
            </w:r>
          </w:p>
        </w:tc>
        <w:tc>
          <w:tcPr>
            <w:tcW w:w="724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17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20"/>
                <w:lang w:val="en-US"/>
              </w:rPr>
              <w:t>Objective 1</w:t>
            </w:r>
            <w:r w:rsidRPr="008357C5">
              <w:rPr>
                <w:rFonts w:ascii="Calibri" w:hAnsi="Calibri" w:cs="Cordia New"/>
                <w:sz w:val="20"/>
                <w:lang w:val="en-US"/>
              </w:rPr>
              <w:t xml:space="preserve"> understanding</w:t>
            </w:r>
          </w:p>
        </w:tc>
        <w:tc>
          <w:tcPr>
            <w:tcW w:w="3621" w:type="dxa"/>
            <w:tcBorders>
              <w:bottom w:val="nil"/>
              <w:right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u w:val="single"/>
                <w:lang w:val="en-US"/>
              </w:rPr>
              <w:t xml:space="preserve">All </w:t>
            </w: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>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3531" w:type="dxa"/>
            <w:gridSpan w:val="2"/>
            <w:tcBorders>
              <w:left w:val="nil"/>
              <w:bottom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>Most 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357C5" w:rsidRPr="008357C5" w:rsidRDefault="008357C5" w:rsidP="008357C5">
            <w:pPr>
              <w:widowControl w:val="0"/>
              <w:jc w:val="center"/>
              <w:rPr>
                <w:rFonts w:ascii="Calibri" w:hAnsi="Calibri" w:cs="Cordia New"/>
                <w:b/>
                <w:bCs/>
                <w:color w:val="000000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bCs/>
                <w:color w:val="000000"/>
                <w:sz w:val="16"/>
                <w:lang w:val="en-US"/>
              </w:rPr>
              <w:t>Define          Draw         Label        List        Measure     State</w:t>
            </w:r>
          </w:p>
        </w:tc>
        <w:tc>
          <w:tcPr>
            <w:tcW w:w="724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231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20"/>
                <w:lang w:val="en-US"/>
              </w:rPr>
              <w:t>Objective 2</w:t>
            </w:r>
            <w:r w:rsidRPr="008357C5">
              <w:rPr>
                <w:rFonts w:ascii="Calibri" w:hAnsi="Calibri" w:cs="Cordia New"/>
                <w:sz w:val="20"/>
                <w:lang w:val="en-US"/>
              </w:rPr>
              <w:t xml:space="preserve"> 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u w:val="single"/>
                <w:lang w:val="en-US"/>
              </w:rPr>
              <w:t>All</w:t>
            </w: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 xml:space="preserve"> 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>Most 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94"/>
        </w:trPr>
        <w:tc>
          <w:tcPr>
            <w:tcW w:w="1630" w:type="dxa"/>
            <w:vMerge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</w:p>
        </w:tc>
        <w:tc>
          <w:tcPr>
            <w:tcW w:w="715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lang w:val="en-US"/>
              </w:rPr>
              <w:t>Annotate     Apply       Calculate      Describe     Distinguish    Estimate    Identify          Outline</w:t>
            </w:r>
          </w:p>
        </w:tc>
        <w:tc>
          <w:tcPr>
            <w:tcW w:w="724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213"/>
        </w:trPr>
        <w:tc>
          <w:tcPr>
            <w:tcW w:w="1630" w:type="dxa"/>
            <w:vMerge w:val="restart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b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20"/>
                <w:lang w:val="en-US"/>
              </w:rPr>
              <w:t>Objective3</w:t>
            </w:r>
          </w:p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sz w:val="20"/>
                <w:lang w:val="en-US"/>
              </w:rPr>
              <w:t>understanding</w:t>
            </w:r>
          </w:p>
        </w:tc>
        <w:tc>
          <w:tcPr>
            <w:tcW w:w="3792" w:type="dxa"/>
            <w:gridSpan w:val="2"/>
            <w:tcBorders>
              <w:bottom w:val="nil"/>
              <w:right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u w:val="single"/>
                <w:lang w:val="en-US"/>
              </w:rPr>
              <w:t>All</w:t>
            </w: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 xml:space="preserve"> 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3360" w:type="dxa"/>
            <w:tcBorders>
              <w:left w:val="nil"/>
              <w:bottom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u w:val="single"/>
                <w:lang w:val="en-US"/>
              </w:rPr>
              <w:t>Most answers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for the following command terms correct:</w:t>
            </w:r>
          </w:p>
        </w:tc>
        <w:tc>
          <w:tcPr>
            <w:tcW w:w="724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 w:val="restart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46"/>
        </w:trPr>
        <w:tc>
          <w:tcPr>
            <w:tcW w:w="1630" w:type="dxa"/>
            <w:vMerge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</w:p>
        </w:tc>
        <w:tc>
          <w:tcPr>
            <w:tcW w:w="7152" w:type="dxa"/>
            <w:gridSpan w:val="3"/>
            <w:tcBorders>
              <w:top w:val="nil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lang w:val="en-US"/>
              </w:rPr>
              <w:t>Analyse   Comment   Compare    Construct    Deduce    Derive    Design   Determine   Discuss</w:t>
            </w:r>
          </w:p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16"/>
                <w:lang w:val="en-US"/>
              </w:rPr>
              <w:t>Evaluate           Explain    Predict         Show    Solve        Sketch   Suggest</w:t>
            </w:r>
          </w:p>
        </w:tc>
        <w:tc>
          <w:tcPr>
            <w:tcW w:w="724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Merge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145"/>
        </w:trPr>
        <w:tc>
          <w:tcPr>
            <w:tcW w:w="1630" w:type="dxa"/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sz w:val="20"/>
                <w:lang w:val="en-US"/>
              </w:rPr>
              <w:t>Logic, notation, mathematical working</w:t>
            </w:r>
          </w:p>
        </w:tc>
        <w:tc>
          <w:tcPr>
            <w:tcW w:w="3621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NA</w:t>
            </w:r>
          </w:p>
        </w:tc>
        <w:tc>
          <w:tcPr>
            <w:tcW w:w="3531" w:type="dxa"/>
            <w:gridSpan w:val="2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sz w:val="16"/>
                <w:lang w:val="en-US"/>
              </w:rPr>
              <w:t>Answers are presented in a logical and concise manner. SI units used most times, with correct unit symbols and definitions of terms. All mathematical working shown.</w:t>
            </w:r>
          </w:p>
        </w:tc>
        <w:tc>
          <w:tcPr>
            <w:tcW w:w="724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153"/>
        </w:trPr>
        <w:tc>
          <w:tcPr>
            <w:tcW w:w="1630" w:type="dxa"/>
            <w:tcBorders>
              <w:bottom w:val="single" w:sz="4" w:space="0" w:color="000000"/>
            </w:tcBorders>
            <w:shd w:val="clear" w:color="auto" w:fill="DBE5F1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20"/>
                <w:lang w:val="en-US"/>
              </w:rPr>
            </w:pPr>
            <w:r w:rsidRPr="008357C5">
              <w:rPr>
                <w:rFonts w:ascii="Calibri" w:hAnsi="Calibri" w:cs="Cordia New"/>
                <w:sz w:val="20"/>
                <w:lang w:val="en-US"/>
              </w:rPr>
              <w:t>Further research</w:t>
            </w:r>
          </w:p>
        </w:tc>
        <w:tc>
          <w:tcPr>
            <w:tcW w:w="3621" w:type="dxa"/>
            <w:tcBorders>
              <w:bottom w:val="single" w:sz="4" w:space="0" w:color="000000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lang w:val="en-US"/>
              </w:rPr>
            </w:pPr>
            <w:r w:rsidRPr="008357C5">
              <w:rPr>
                <w:rFonts w:ascii="Calibri" w:hAnsi="Calibri" w:cs="Cordia New"/>
                <w:lang w:val="en-US"/>
              </w:rPr>
              <w:t>NA</w:t>
            </w:r>
          </w:p>
        </w:tc>
        <w:tc>
          <w:tcPr>
            <w:tcW w:w="3531" w:type="dxa"/>
            <w:gridSpan w:val="2"/>
            <w:tcBorders>
              <w:bottom w:val="single" w:sz="4" w:space="0" w:color="000000"/>
            </w:tcBorders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6"/>
                <w:lang w:val="en-US"/>
              </w:rPr>
            </w:pPr>
            <w:r w:rsidRPr="008357C5">
              <w:rPr>
                <w:rFonts w:ascii="Calibri" w:hAnsi="Calibri" w:cs="Cordia New"/>
                <w:i/>
                <w:sz w:val="16"/>
                <w:u w:val="single"/>
                <w:lang w:val="en-US"/>
              </w:rPr>
              <w:t>Evidence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is apparent of research and reading beyond the textbook and presentations to find correct answers to challenging questions. </w:t>
            </w:r>
            <w:r w:rsidRPr="008357C5">
              <w:rPr>
                <w:rFonts w:ascii="Calibri" w:hAnsi="Calibri" w:cs="Cordia New"/>
                <w:b/>
                <w:sz w:val="16"/>
                <w:lang w:val="en-US"/>
              </w:rPr>
              <w:t>If any questions are unanswered, this criterion scores zero.</w:t>
            </w:r>
            <w:r w:rsidRPr="008357C5">
              <w:rPr>
                <w:rFonts w:ascii="Calibri" w:hAnsi="Calibri" w:cs="Cordia New"/>
                <w:sz w:val="16"/>
                <w:lang w:val="en-US"/>
              </w:rPr>
              <w:t xml:space="preserve"> </w:t>
            </w:r>
          </w:p>
        </w:tc>
        <w:tc>
          <w:tcPr>
            <w:tcW w:w="724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  <w:tc>
          <w:tcPr>
            <w:tcW w:w="705" w:type="dxa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sz w:val="14"/>
                <w:lang w:val="en-US"/>
              </w:rPr>
            </w:pPr>
          </w:p>
        </w:tc>
      </w:tr>
      <w:tr w:rsidR="008357C5" w:rsidRPr="008357C5" w:rsidTr="008357C5">
        <w:trPr>
          <w:trHeight w:val="401"/>
        </w:trPr>
        <w:tc>
          <w:tcPr>
            <w:tcW w:w="16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b/>
                <w:sz w:val="16"/>
                <w:lang w:val="en-US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nil"/>
            </w:tcBorders>
          </w:tcPr>
          <w:p w:rsidR="008357C5" w:rsidRPr="008357C5" w:rsidRDefault="008357C5" w:rsidP="008357C5">
            <w:pPr>
              <w:jc w:val="right"/>
              <w:rPr>
                <w:rFonts w:ascii="Calibri" w:hAnsi="Calibri" w:cs="Cordia New"/>
                <w:sz w:val="14"/>
                <w:lang w:val="en-US"/>
              </w:rPr>
            </w:pPr>
            <w:r w:rsidRPr="008357C5">
              <w:rPr>
                <w:rFonts w:ascii="Calibri" w:hAnsi="Calibri" w:cs="Cordia New"/>
                <w:b/>
                <w:sz w:val="24"/>
                <w:lang w:val="en-US"/>
              </w:rPr>
              <w:t>Total (max 10):</w:t>
            </w:r>
          </w:p>
        </w:tc>
        <w:tc>
          <w:tcPr>
            <w:tcW w:w="724" w:type="dxa"/>
            <w:shd w:val="clear" w:color="auto" w:fill="E5B8B7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4"/>
                <w:lang w:val="en-US"/>
              </w:rPr>
            </w:pPr>
          </w:p>
        </w:tc>
        <w:tc>
          <w:tcPr>
            <w:tcW w:w="705" w:type="dxa"/>
            <w:shd w:val="clear" w:color="auto" w:fill="E5B8B7"/>
            <w:vAlign w:val="center"/>
          </w:tcPr>
          <w:p w:rsidR="008357C5" w:rsidRPr="008357C5" w:rsidRDefault="008357C5" w:rsidP="008357C5">
            <w:pPr>
              <w:jc w:val="center"/>
              <w:rPr>
                <w:rFonts w:ascii="Calibri" w:hAnsi="Calibri" w:cs="Cordia New"/>
                <w:b/>
                <w:sz w:val="14"/>
                <w:lang w:val="en-US"/>
              </w:rPr>
            </w:pPr>
          </w:p>
        </w:tc>
      </w:tr>
    </w:tbl>
    <w:p w:rsidR="008357C5" w:rsidRPr="008357C5" w:rsidRDefault="008357C5" w:rsidP="008357C5">
      <w:pPr>
        <w:rPr>
          <w:rFonts w:ascii="Calibri" w:eastAsia="Times New Roman" w:hAnsi="Calibri" w:cs="Cordia New"/>
          <w:szCs w:val="22"/>
          <w:lang w:val="en-US" w:bidi="ar-SA"/>
        </w:rPr>
      </w:pPr>
    </w:p>
    <w:p w:rsidR="00BE29FC" w:rsidRDefault="00BE29FC"/>
    <w:sectPr w:rsidR="00BE29FC" w:rsidSect="00E5326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6"/>
      <w:gridCol w:w="1254"/>
    </w:tblGrid>
    <w:tr w:rsidR="00CC20B1">
      <w:trPr>
        <w:trHeight w:val="288"/>
      </w:trPr>
      <w:tc>
        <w:tcPr>
          <w:tcW w:w="7765" w:type="dxa"/>
        </w:tcPr>
        <w:p w:rsidR="00CC20B1" w:rsidRDefault="00EB00AA" w:rsidP="00807EA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 w:rsidRPr="00811675">
            <w:rPr>
              <w:rFonts w:ascii="Cambria" w:hAnsi="Cambria"/>
              <w:noProof/>
              <w:sz w:val="36"/>
              <w:szCs w:val="36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7A9D21CC" wp14:editId="79267FB9">
                    <wp:simplePos x="0" y="0"/>
                    <wp:positionH relativeFrom="page">
                      <wp:posOffset>6941185</wp:posOffset>
                    </wp:positionH>
                    <wp:positionV relativeFrom="page">
                      <wp:posOffset>6960870</wp:posOffset>
                    </wp:positionV>
                    <wp:extent cx="510540" cy="2183130"/>
                    <wp:effectExtent l="0" t="0" r="0" b="0"/>
                    <wp:wrapNone/>
                    <wp:docPr id="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20B1" w:rsidRPr="00811675" w:rsidRDefault="00EB00AA">
                                <w:pPr>
                                  <w:pStyle w:val="Footer"/>
                                  <w:rPr>
                                    <w:rFonts w:ascii="Cambria" w:hAnsi="Cambria"/>
                                    <w:sz w:val="44"/>
                                    <w:szCs w:val="44"/>
                                  </w:rPr>
                                </w:pPr>
                                <w:r w:rsidRPr="00811675">
                                  <w:rPr>
                                    <w:rFonts w:ascii="Cambria" w:hAnsi="Cambria"/>
                                  </w:rPr>
                                  <w:t>Page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B00AA">
                                  <w:rPr>
                                    <w:rFonts w:ascii="Cambria" w:hAnsi="Cambria"/>
                                    <w:noProof/>
                                    <w:sz w:val="44"/>
                                    <w:szCs w:val="44"/>
                                  </w:rPr>
                                  <w:t>5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9D21CC" id="Rectangle 5" o:spid="_x0000_s1026" style="position:absolute;left:0;text-align:left;margin-left:546.55pt;margin-top:548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oWtAIAALUFAAAOAAAAZHJzL2Uyb0RvYy54bWysVNtu2zAMfR+wfxD07vpSO4mNOkUbx8OA&#10;bivW7QMUW46FyZInKXGKYv8+Ss61fRm2+UEwRYo65Dnize2u42hLlWZS5Di8CjCiopI1E+scf/9W&#10;ejOMtCGiJlwKmuNnqvHt/P27m6HPaCRbyWuqECQROhv6HLfG9Jnv66qlHdFXsqcCnI1UHTFgqrVf&#10;KzJA9o77URBM/EGquleyolrDbjE68dzlbxpamS9No6lBPMeAzbhVuXVlV39+Q7K1In3Lqj0M8hco&#10;OsIEXHpMVRBD0EaxN6k6VimpZWOuKtn5smlYRV0NUE0YvKrmqSU9dbVAc3R/bJP+f2mrz9tHhVid&#10;4wQjQTqg6Cs0jYg1pyix7Rl6nUHUU/+obIG6f5DVD42EXLQQRe+UkkNLSQ2gQhvvXxywhoajaDV8&#10;kjVkJxsjXad2jepsQugB2jlCno+E0J1BFWwmYZDEQFsFriicXYfXjjGfZIfTvdLmA5Udsj85VoDd&#10;ZSfbB20sGpIdQuxlQpaMc0c6FxcbEDjuwN1w1PosCsfhSxqky9lyFntxNFl6cVAU3l25iL1JGU6T&#10;4rpYLIrwl703jLOW1TUV9pqDnsL4z/jaK3tUwlFRWnJW23QWklbr1YIrtCWg59J9rufgOYX5lzBc&#10;E6CWVyWFURzcR6lXTmZTLy7jxEunwcwLwvQ+nQRxGhflZUkPTNB/LwkNOU6TKHEsnYF+VVvgvre1&#10;kaxjBiYGZ12OZ8cgklkJLkXtqDWE8fH/rBUW/qkVQPeBaCdYq9FR62a32kEWK9yVrJ9BukqCskCF&#10;MObgx67RFMwBpkaO9c8NURQj/lHAC0jD2OrVOCNOphEY6tyzOvcQUbUShlFlFEajsTDjcNr0iq1b&#10;uC4cG9XfwbspmZP0Cdr+tcFscJXt55gdPue2izpN2/lvAAAA//8DAFBLAwQUAAYACAAAACEAEYi4&#10;GOAAAAAPAQAADwAAAGRycy9kb3ducmV2LnhtbEyPwU7DMBBE70j8g7VI3KidtoQS4lQIiQtCqmg5&#10;9OjaSxwRr6PYac3f43Khtxnt0+xMvU6uZ0ccQ+dJQjETwJC0Nx21Ej53r3crYCEqMqr3hBJ+MMC6&#10;ub6qVWX8iT7wuI0tyyEUKiXBxjhUnAdt0akw8wNSvn350amY7dhyM6pTDnc9nwtRcqc6yh+sGvDF&#10;ov7eTk7Crkx7naZ9ge961WqFG+veNlLe3qTnJ2ARU/yH4Vw/V4cmdzr4iUxgffbicVFk9k+Vc2Bn&#10;pnhY3AM7ZLVcCgG8qfnljuYXAAD//wMAUEsBAi0AFAAGAAgAAAAhALaDOJL+AAAA4QEAABMAAAAA&#10;AAAAAAAAAAAAAAAAAFtDb250ZW50X1R5cGVzXS54bWxQSwECLQAUAAYACAAAACEAOP0h/9YAAACU&#10;AQAACwAAAAAAAAAAAAAAAAAvAQAAX3JlbHMvLnJlbHNQSwECLQAUAAYACAAAACEAmv6aFrQCAAC1&#10;BQAADgAAAAAAAAAAAAAAAAAuAgAAZHJzL2Uyb0RvYy54bWxQSwECLQAUAAYACAAAACEAEYi4GOAA&#10;AAAPAQAADwAAAAAAAAAAAAAAAAAOBQAAZHJzL2Rvd25yZXYueG1sUEsFBgAAAAAEAAQA8wAAABsG&#10;AAAAAA==&#10;" o:allowincell="f" filled="f" stroked="f">
                    <v:textbox style="layout-flow:vertical;mso-layout-flow-alt:bottom-to-top;mso-fit-shape-to-text:t">
                      <w:txbxContent>
                        <w:p w:rsidR="00CC20B1" w:rsidRPr="00811675" w:rsidRDefault="00EB00AA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11675">
                            <w:rPr>
                              <w:rFonts w:ascii="Cambria" w:hAnsi="Cambria"/>
                            </w:rPr>
                            <w:t>Page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B00A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Cambria" w:hAnsi="Cambria"/>
              <w:sz w:val="36"/>
              <w:szCs w:val="36"/>
            </w:rPr>
            <w:t>IB Biology</w:t>
          </w:r>
          <w:r>
            <w:rPr>
              <w:rFonts w:ascii="Cambria" w:hAnsi="Cambria"/>
              <w:sz w:val="36"/>
              <w:szCs w:val="36"/>
            </w:rPr>
            <w:t xml:space="preserve"> SL</w:t>
          </w:r>
        </w:p>
      </w:tc>
      <w:tc>
        <w:tcPr>
          <w:tcW w:w="1105" w:type="dxa"/>
        </w:tcPr>
        <w:p w:rsidR="00CC20B1" w:rsidRDefault="00EB00AA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N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otes</w:t>
          </w:r>
        </w:p>
      </w:tc>
    </w:tr>
  </w:tbl>
  <w:p w:rsidR="00FC2097" w:rsidRPr="00435E9C" w:rsidRDefault="00EB00AA" w:rsidP="00435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1D7"/>
    <w:multiLevelType w:val="hybridMultilevel"/>
    <w:tmpl w:val="937C8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72AB3"/>
    <w:multiLevelType w:val="hybridMultilevel"/>
    <w:tmpl w:val="53D80CA6"/>
    <w:lvl w:ilvl="0" w:tplc="440E5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B92803"/>
    <w:multiLevelType w:val="hybridMultilevel"/>
    <w:tmpl w:val="3BC0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zNzI2M7KwMDE3NrFQ0lEKTi0uzszPAykwrAUARH+LKywAAAA="/>
  </w:docVars>
  <w:rsids>
    <w:rsidRoot w:val="008357C5"/>
    <w:rsid w:val="004D6CEB"/>
    <w:rsid w:val="008357C5"/>
    <w:rsid w:val="00BE29FC"/>
    <w:rsid w:val="00EB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54EC4"/>
  <w15:chartTrackingRefBased/>
  <w15:docId w15:val="{81B0DCFC-C654-4F93-B8AD-46DA88D1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7C5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5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7C5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8357C5"/>
    <w:pPr>
      <w:spacing w:after="0" w:line="240" w:lineRule="auto"/>
    </w:pPr>
    <w:rPr>
      <w:rFonts w:eastAsia="Times New Roman"/>
      <w:szCs w:val="22"/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semiHidden/>
    <w:unhideWhenUsed/>
    <w:rsid w:val="008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wired.com/wiredscience/2011/02/not-many-antibiotic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Mcknight</dc:creator>
  <cp:keywords/>
  <dc:description/>
  <cp:lastModifiedBy>Victoria Mcknight</cp:lastModifiedBy>
  <cp:revision>1</cp:revision>
  <dcterms:created xsi:type="dcterms:W3CDTF">2017-01-12T05:26:00Z</dcterms:created>
  <dcterms:modified xsi:type="dcterms:W3CDTF">2017-01-12T06:05:00Z</dcterms:modified>
</cp:coreProperties>
</file>